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65" w:rsidRDefault="00B420B4">
      <w:pPr>
        <w:pStyle w:val="Heading1"/>
        <w:spacing w:before="71"/>
      </w:pPr>
      <w:bookmarkStart w:id="0" w:name="_GoBack"/>
      <w:bookmarkEnd w:id="0"/>
      <w:permStart w:id="51019497" w:edGrp="everyone"/>
      <w:permEnd w:id="51019497"/>
      <w:r>
        <w:t>ROANOKE CITY PUBLIC SCHOOLS</w:t>
      </w:r>
    </w:p>
    <w:p w:rsidR="00297865" w:rsidRDefault="00B420B4">
      <w:pPr>
        <w:spacing w:before="12"/>
        <w:ind w:left="1884" w:right="1847"/>
        <w:jc w:val="center"/>
        <w:rPr>
          <w:b/>
          <w:sz w:val="24"/>
        </w:rPr>
      </w:pPr>
      <w:r>
        <w:rPr>
          <w:b/>
          <w:sz w:val="24"/>
        </w:rPr>
        <w:t xml:space="preserve">SECTION 504 IMPARTIAL HEARING </w:t>
      </w:r>
      <w:proofErr w:type="gramStart"/>
      <w:r>
        <w:rPr>
          <w:b/>
          <w:sz w:val="24"/>
        </w:rPr>
        <w:t>PROCEDURE</w:t>
      </w:r>
      <w:proofErr w:type="gramEnd"/>
    </w:p>
    <w:p w:rsidR="00297865" w:rsidRDefault="00297865">
      <w:pPr>
        <w:pStyle w:val="BodyText"/>
        <w:spacing w:before="7"/>
        <w:rPr>
          <w:b/>
          <w:sz w:val="21"/>
        </w:rPr>
      </w:pPr>
    </w:p>
    <w:p w:rsidR="00297865" w:rsidRDefault="00B420B4">
      <w:pPr>
        <w:pStyle w:val="BodyText"/>
        <w:ind w:left="100"/>
      </w:pPr>
      <w:r>
        <w:rPr>
          <w:u w:val="single"/>
        </w:rPr>
        <w:t>Section 504 Impartial Hearing Procedure</w:t>
      </w:r>
    </w:p>
    <w:p w:rsidR="00297865" w:rsidRDefault="00B420B4">
      <w:pPr>
        <w:pStyle w:val="ListParagraph"/>
        <w:numPr>
          <w:ilvl w:val="0"/>
          <w:numId w:val="1"/>
        </w:numPr>
        <w:tabs>
          <w:tab w:val="left" w:pos="820"/>
          <w:tab w:val="left" w:pos="821"/>
        </w:tabs>
        <w:spacing w:before="136"/>
        <w:ind w:right="381"/>
        <w:rPr>
          <w:sz w:val="24"/>
        </w:rPr>
      </w:pPr>
      <w:r>
        <w:rPr>
          <w:sz w:val="24"/>
        </w:rPr>
        <w:t>Impartial hearings are available under Section 504 to resolve disagreements between parents and the school division over matters related to the identification, evaluation,</w:t>
      </w:r>
      <w:r>
        <w:rPr>
          <w:spacing w:val="-11"/>
          <w:sz w:val="24"/>
        </w:rPr>
        <w:t xml:space="preserve"> </w:t>
      </w:r>
      <w:r>
        <w:rPr>
          <w:sz w:val="24"/>
        </w:rPr>
        <w:t xml:space="preserve">or educational placement of a student with a disability.  </w:t>
      </w:r>
      <w:r>
        <w:rPr>
          <w:sz w:val="24"/>
          <w:u w:val="single"/>
        </w:rPr>
        <w:t xml:space="preserve">See </w:t>
      </w:r>
      <w:r>
        <w:rPr>
          <w:sz w:val="24"/>
        </w:rPr>
        <w:t>34 C.F.R. §</w:t>
      </w:r>
      <w:r>
        <w:rPr>
          <w:spacing w:val="-9"/>
          <w:sz w:val="24"/>
        </w:rPr>
        <w:t xml:space="preserve"> </w:t>
      </w:r>
      <w:r>
        <w:rPr>
          <w:sz w:val="24"/>
        </w:rPr>
        <w:t>104.36.</w:t>
      </w:r>
    </w:p>
    <w:p w:rsidR="00297865" w:rsidRDefault="00297865">
      <w:pPr>
        <w:pStyle w:val="BodyText"/>
        <w:spacing w:before="9"/>
        <w:rPr>
          <w:sz w:val="20"/>
        </w:rPr>
      </w:pPr>
    </w:p>
    <w:p w:rsidR="00297865" w:rsidRDefault="00B420B4">
      <w:pPr>
        <w:pStyle w:val="ListParagraph"/>
        <w:numPr>
          <w:ilvl w:val="1"/>
          <w:numId w:val="1"/>
        </w:numPr>
        <w:tabs>
          <w:tab w:val="left" w:pos="1540"/>
          <w:tab w:val="left" w:pos="1541"/>
        </w:tabs>
        <w:ind w:right="123"/>
        <w:rPr>
          <w:sz w:val="24"/>
        </w:rPr>
      </w:pPr>
      <w:r>
        <w:rPr>
          <w:sz w:val="24"/>
          <w:u w:val="single"/>
        </w:rPr>
        <w:t>E</w:t>
      </w:r>
      <w:r>
        <w:rPr>
          <w:sz w:val="24"/>
          <w:u w:val="single"/>
        </w:rPr>
        <w:t>xception for student use of drugs or alcohol</w:t>
      </w:r>
      <w:r>
        <w:rPr>
          <w:sz w:val="24"/>
        </w:rPr>
        <w:t>. School divisions can take disciplinary action against any student with a disability “who currently is engaging in the illegal use of drugs or in the use of alcohol to the same extent</w:t>
      </w:r>
      <w:r>
        <w:rPr>
          <w:spacing w:val="-14"/>
          <w:sz w:val="24"/>
        </w:rPr>
        <w:t xml:space="preserve"> </w:t>
      </w:r>
      <w:r>
        <w:rPr>
          <w:sz w:val="24"/>
        </w:rPr>
        <w:t>that such disciplinary acti</w:t>
      </w:r>
      <w:r>
        <w:rPr>
          <w:sz w:val="24"/>
        </w:rPr>
        <w:t>on is taken against students who are not individuals with disabilities.” 29 U.S.C. § 705(20</w:t>
      </w:r>
      <w:proofErr w:type="gramStart"/>
      <w:r>
        <w:rPr>
          <w:sz w:val="24"/>
        </w:rPr>
        <w:t>)(</w:t>
      </w:r>
      <w:proofErr w:type="gramEnd"/>
      <w:r>
        <w:rPr>
          <w:sz w:val="24"/>
        </w:rPr>
        <w:t xml:space="preserve">C)(iv). Furthermore, disciplinary matters relating to a student’s current use of illegal drugs or alcohol are not reviewable in a hearing.  </w:t>
      </w:r>
      <w:r>
        <w:rPr>
          <w:sz w:val="24"/>
          <w:u w:val="single"/>
        </w:rPr>
        <w:t>See</w:t>
      </w:r>
      <w:r>
        <w:rPr>
          <w:spacing w:val="-5"/>
          <w:sz w:val="24"/>
          <w:u w:val="single"/>
        </w:rPr>
        <w:t xml:space="preserve"> </w:t>
      </w:r>
      <w:r>
        <w:rPr>
          <w:sz w:val="24"/>
          <w:u w:val="single"/>
        </w:rPr>
        <w:t>id.</w:t>
      </w:r>
    </w:p>
    <w:p w:rsidR="00297865" w:rsidRDefault="00297865">
      <w:pPr>
        <w:pStyle w:val="BodyText"/>
        <w:spacing w:before="9"/>
        <w:rPr>
          <w:sz w:val="20"/>
        </w:rPr>
      </w:pPr>
    </w:p>
    <w:p w:rsidR="00297865" w:rsidRDefault="00B420B4">
      <w:pPr>
        <w:pStyle w:val="ListParagraph"/>
        <w:numPr>
          <w:ilvl w:val="1"/>
          <w:numId w:val="1"/>
        </w:numPr>
        <w:tabs>
          <w:tab w:val="left" w:pos="1540"/>
          <w:tab w:val="left" w:pos="1541"/>
        </w:tabs>
        <w:ind w:right="669"/>
        <w:rPr>
          <w:sz w:val="24"/>
        </w:rPr>
      </w:pPr>
      <w:r>
        <w:rPr>
          <w:sz w:val="24"/>
        </w:rPr>
        <w:t xml:space="preserve">These hearing </w:t>
      </w:r>
      <w:r>
        <w:rPr>
          <w:sz w:val="24"/>
        </w:rPr>
        <w:t>procedures shall not be used if the remedy requested by the complainant is available through the due process procedures set forth in the Individuals with Disabilities Education Act (“IDEA”), 20 U.S.C. § 1415</w:t>
      </w:r>
      <w:r>
        <w:rPr>
          <w:spacing w:val="-16"/>
          <w:sz w:val="24"/>
        </w:rPr>
        <w:t xml:space="preserve"> </w:t>
      </w:r>
      <w:r>
        <w:rPr>
          <w:sz w:val="24"/>
        </w:rPr>
        <w:t>(f).</w:t>
      </w:r>
    </w:p>
    <w:p w:rsidR="00297865" w:rsidRDefault="00297865">
      <w:pPr>
        <w:pStyle w:val="BodyText"/>
        <w:spacing w:before="9"/>
        <w:rPr>
          <w:sz w:val="20"/>
        </w:rPr>
      </w:pPr>
    </w:p>
    <w:p w:rsidR="00297865" w:rsidRDefault="00B420B4">
      <w:pPr>
        <w:pStyle w:val="ListParagraph"/>
        <w:numPr>
          <w:ilvl w:val="0"/>
          <w:numId w:val="1"/>
        </w:numPr>
        <w:tabs>
          <w:tab w:val="left" w:pos="820"/>
          <w:tab w:val="left" w:pos="821"/>
        </w:tabs>
        <w:rPr>
          <w:sz w:val="24"/>
        </w:rPr>
      </w:pPr>
      <w:r>
        <w:rPr>
          <w:sz w:val="24"/>
          <w:u w:val="single"/>
        </w:rPr>
        <w:t>Requesting a</w:t>
      </w:r>
      <w:r>
        <w:rPr>
          <w:spacing w:val="-5"/>
          <w:sz w:val="24"/>
          <w:u w:val="single"/>
        </w:rPr>
        <w:t xml:space="preserve"> </w:t>
      </w:r>
      <w:r>
        <w:rPr>
          <w:sz w:val="24"/>
          <w:u w:val="single"/>
        </w:rPr>
        <w:t>Hearing</w:t>
      </w:r>
    </w:p>
    <w:p w:rsidR="00297865" w:rsidRDefault="00297865">
      <w:pPr>
        <w:pStyle w:val="BodyText"/>
        <w:spacing w:before="10"/>
        <w:rPr>
          <w:sz w:val="20"/>
        </w:rPr>
      </w:pPr>
    </w:p>
    <w:p w:rsidR="00297865" w:rsidRDefault="00B420B4">
      <w:pPr>
        <w:pStyle w:val="ListParagraph"/>
        <w:numPr>
          <w:ilvl w:val="1"/>
          <w:numId w:val="1"/>
        </w:numPr>
        <w:tabs>
          <w:tab w:val="left" w:pos="1540"/>
          <w:tab w:val="left" w:pos="1541"/>
        </w:tabs>
        <w:ind w:right="150"/>
        <w:rPr>
          <w:sz w:val="24"/>
        </w:rPr>
      </w:pPr>
      <w:r>
        <w:rPr>
          <w:sz w:val="24"/>
        </w:rPr>
        <w:t>Requests for hearing</w:t>
      </w:r>
      <w:r>
        <w:rPr>
          <w:sz w:val="24"/>
        </w:rPr>
        <w:t>s shall be made in writing and directed to the school division’s Section 504 Coordinator (“coordinator”). A hearing must be requested within ninety (90) calendar days of the dispute giving rise to the hearing. The hearing request must include the following</w:t>
      </w:r>
      <w:r>
        <w:rPr>
          <w:spacing w:val="-9"/>
          <w:sz w:val="24"/>
        </w:rPr>
        <w:t xml:space="preserve"> </w:t>
      </w:r>
      <w:r>
        <w:rPr>
          <w:sz w:val="24"/>
        </w:rPr>
        <w:t>information:</w:t>
      </w:r>
    </w:p>
    <w:p w:rsidR="00297865" w:rsidRDefault="00297865">
      <w:pPr>
        <w:pStyle w:val="BodyText"/>
        <w:spacing w:before="9"/>
        <w:rPr>
          <w:sz w:val="20"/>
        </w:rPr>
      </w:pPr>
    </w:p>
    <w:p w:rsidR="00297865" w:rsidRDefault="00B420B4">
      <w:pPr>
        <w:pStyle w:val="ListParagraph"/>
        <w:numPr>
          <w:ilvl w:val="2"/>
          <w:numId w:val="1"/>
        </w:numPr>
        <w:tabs>
          <w:tab w:val="left" w:pos="2260"/>
          <w:tab w:val="left" w:pos="2261"/>
        </w:tabs>
        <w:spacing w:before="1"/>
        <w:ind w:right="344"/>
        <w:rPr>
          <w:sz w:val="24"/>
        </w:rPr>
      </w:pPr>
      <w:r>
        <w:rPr>
          <w:sz w:val="24"/>
        </w:rPr>
        <w:t>The name of the student, the address of the residence of the student (or available contact information in the case of a homeless student), and</w:t>
      </w:r>
      <w:r>
        <w:rPr>
          <w:spacing w:val="-15"/>
          <w:sz w:val="24"/>
        </w:rPr>
        <w:t xml:space="preserve"> </w:t>
      </w:r>
      <w:r>
        <w:rPr>
          <w:sz w:val="24"/>
        </w:rPr>
        <w:t>the name of the school the student is</w:t>
      </w:r>
      <w:r>
        <w:rPr>
          <w:spacing w:val="-9"/>
          <w:sz w:val="24"/>
        </w:rPr>
        <w:t xml:space="preserve"> </w:t>
      </w:r>
      <w:r>
        <w:rPr>
          <w:sz w:val="24"/>
        </w:rPr>
        <w:t>attending;</w:t>
      </w:r>
    </w:p>
    <w:p w:rsidR="00297865" w:rsidRDefault="00297865">
      <w:pPr>
        <w:pStyle w:val="BodyText"/>
        <w:spacing w:before="10"/>
        <w:rPr>
          <w:sz w:val="20"/>
        </w:rPr>
      </w:pPr>
    </w:p>
    <w:p w:rsidR="00297865" w:rsidRDefault="00B420B4">
      <w:pPr>
        <w:pStyle w:val="ListParagraph"/>
        <w:numPr>
          <w:ilvl w:val="2"/>
          <w:numId w:val="1"/>
        </w:numPr>
        <w:tabs>
          <w:tab w:val="left" w:pos="2260"/>
          <w:tab w:val="left" w:pos="2261"/>
        </w:tabs>
        <w:ind w:right="240"/>
        <w:rPr>
          <w:sz w:val="24"/>
        </w:rPr>
      </w:pPr>
      <w:r>
        <w:rPr>
          <w:sz w:val="24"/>
        </w:rPr>
        <w:t>In the case of a homeless student or youth (within the meaning of</w:t>
      </w:r>
      <w:r>
        <w:rPr>
          <w:spacing w:val="-12"/>
          <w:sz w:val="24"/>
        </w:rPr>
        <w:t xml:space="preserve"> </w:t>
      </w:r>
      <w:r>
        <w:rPr>
          <w:sz w:val="24"/>
        </w:rPr>
        <w:t>section 725(2) of the McKinney-Vento Homeless Assistance Act (42</w:t>
      </w:r>
      <w:r>
        <w:rPr>
          <w:spacing w:val="-7"/>
          <w:sz w:val="24"/>
        </w:rPr>
        <w:t xml:space="preserve"> </w:t>
      </w:r>
      <w:r>
        <w:rPr>
          <w:sz w:val="24"/>
        </w:rPr>
        <w:t>U.S.C.</w:t>
      </w:r>
    </w:p>
    <w:p w:rsidR="00297865" w:rsidRDefault="00B420B4">
      <w:pPr>
        <w:pStyle w:val="BodyText"/>
        <w:ind w:left="2260" w:right="115"/>
      </w:pPr>
      <w:r>
        <w:t xml:space="preserve">§ </w:t>
      </w:r>
      <w:proofErr w:type="gramStart"/>
      <w:r>
        <w:t>11434a(</w:t>
      </w:r>
      <w:proofErr w:type="gramEnd"/>
      <w:r>
        <w:t>2)), available contact information for the student and the name of the school the student is attending;</w:t>
      </w:r>
    </w:p>
    <w:p w:rsidR="00297865" w:rsidRDefault="00297865">
      <w:pPr>
        <w:pStyle w:val="BodyText"/>
        <w:spacing w:before="10"/>
        <w:rPr>
          <w:sz w:val="20"/>
        </w:rPr>
      </w:pPr>
    </w:p>
    <w:p w:rsidR="00297865" w:rsidRDefault="00B420B4">
      <w:pPr>
        <w:pStyle w:val="ListParagraph"/>
        <w:numPr>
          <w:ilvl w:val="2"/>
          <w:numId w:val="1"/>
        </w:numPr>
        <w:tabs>
          <w:tab w:val="left" w:pos="2260"/>
          <w:tab w:val="left" w:pos="2261"/>
        </w:tabs>
        <w:ind w:right="343"/>
        <w:rPr>
          <w:sz w:val="24"/>
        </w:rPr>
      </w:pPr>
      <w:r>
        <w:rPr>
          <w:sz w:val="24"/>
        </w:rPr>
        <w:t>A de</w:t>
      </w:r>
      <w:r>
        <w:rPr>
          <w:sz w:val="24"/>
        </w:rPr>
        <w:t>scription of the decision(s) made by the school division with which the complainant disagrees, including facts relating to such decision;</w:t>
      </w:r>
      <w:r>
        <w:rPr>
          <w:spacing w:val="-11"/>
          <w:sz w:val="24"/>
        </w:rPr>
        <w:t xml:space="preserve"> </w:t>
      </w:r>
      <w:r>
        <w:rPr>
          <w:sz w:val="24"/>
        </w:rPr>
        <w:t>and</w:t>
      </w:r>
    </w:p>
    <w:p w:rsidR="00297865" w:rsidRDefault="00297865">
      <w:pPr>
        <w:pStyle w:val="BodyText"/>
        <w:spacing w:before="9"/>
        <w:rPr>
          <w:sz w:val="20"/>
        </w:rPr>
      </w:pPr>
    </w:p>
    <w:p w:rsidR="00297865" w:rsidRDefault="00B420B4">
      <w:pPr>
        <w:pStyle w:val="ListParagraph"/>
        <w:numPr>
          <w:ilvl w:val="2"/>
          <w:numId w:val="1"/>
        </w:numPr>
        <w:tabs>
          <w:tab w:val="left" w:pos="2260"/>
          <w:tab w:val="left" w:pos="2261"/>
        </w:tabs>
        <w:spacing w:before="1"/>
        <w:ind w:right="114"/>
        <w:rPr>
          <w:sz w:val="24"/>
        </w:rPr>
      </w:pPr>
      <w:r>
        <w:rPr>
          <w:sz w:val="24"/>
        </w:rPr>
        <w:t>A proposed resolution of the problem to the extent known and available</w:t>
      </w:r>
      <w:r>
        <w:rPr>
          <w:spacing w:val="-9"/>
          <w:sz w:val="24"/>
        </w:rPr>
        <w:t xml:space="preserve"> </w:t>
      </w:r>
      <w:r>
        <w:rPr>
          <w:sz w:val="24"/>
        </w:rPr>
        <w:t>to the party at the</w:t>
      </w:r>
      <w:r>
        <w:rPr>
          <w:spacing w:val="-5"/>
          <w:sz w:val="24"/>
        </w:rPr>
        <w:t xml:space="preserve"> </w:t>
      </w:r>
      <w:r>
        <w:rPr>
          <w:sz w:val="24"/>
        </w:rPr>
        <w:t>time.</w:t>
      </w:r>
    </w:p>
    <w:p w:rsidR="00297865" w:rsidRDefault="00297865">
      <w:pPr>
        <w:pStyle w:val="BodyText"/>
        <w:spacing w:before="10"/>
        <w:rPr>
          <w:sz w:val="20"/>
        </w:rPr>
      </w:pPr>
    </w:p>
    <w:p w:rsidR="00297865" w:rsidRDefault="00B420B4">
      <w:pPr>
        <w:pStyle w:val="ListParagraph"/>
        <w:numPr>
          <w:ilvl w:val="0"/>
          <w:numId w:val="1"/>
        </w:numPr>
        <w:tabs>
          <w:tab w:val="left" w:pos="820"/>
          <w:tab w:val="left" w:pos="821"/>
        </w:tabs>
        <w:rPr>
          <w:sz w:val="24"/>
        </w:rPr>
      </w:pPr>
      <w:r>
        <w:rPr>
          <w:sz w:val="24"/>
          <w:u w:val="single"/>
        </w:rPr>
        <w:t>Appointment of a Hearing</w:t>
      </w:r>
      <w:r>
        <w:rPr>
          <w:spacing w:val="-8"/>
          <w:sz w:val="24"/>
          <w:u w:val="single"/>
        </w:rPr>
        <w:t xml:space="preserve"> </w:t>
      </w:r>
      <w:r>
        <w:rPr>
          <w:sz w:val="24"/>
          <w:u w:val="single"/>
        </w:rPr>
        <w:t>Officer</w:t>
      </w:r>
    </w:p>
    <w:p w:rsidR="00297865" w:rsidRDefault="00297865">
      <w:pPr>
        <w:pStyle w:val="BodyText"/>
        <w:spacing w:before="9"/>
        <w:rPr>
          <w:sz w:val="20"/>
        </w:rPr>
      </w:pPr>
    </w:p>
    <w:p w:rsidR="00297865" w:rsidRDefault="00B420B4">
      <w:pPr>
        <w:pStyle w:val="ListParagraph"/>
        <w:numPr>
          <w:ilvl w:val="1"/>
          <w:numId w:val="1"/>
        </w:numPr>
        <w:tabs>
          <w:tab w:val="left" w:pos="1540"/>
          <w:tab w:val="left" w:pos="1541"/>
        </w:tabs>
        <w:spacing w:before="1"/>
        <w:ind w:right="314"/>
        <w:rPr>
          <w:sz w:val="24"/>
        </w:rPr>
      </w:pPr>
      <w:r>
        <w:rPr>
          <w:sz w:val="24"/>
        </w:rPr>
        <w:t>The coordinator will appoint an impartial hearing officer from the list of</w:t>
      </w:r>
      <w:r>
        <w:rPr>
          <w:spacing w:val="-12"/>
          <w:sz w:val="24"/>
        </w:rPr>
        <w:t xml:space="preserve"> </w:t>
      </w:r>
      <w:r>
        <w:rPr>
          <w:sz w:val="24"/>
        </w:rPr>
        <w:t>special education hearing officers maintained by the Supreme Court of Virginia. The hearing officer should be appointed within five (5) school days</w:t>
      </w:r>
      <w:r>
        <w:rPr>
          <w:sz w:val="24"/>
        </w:rPr>
        <w:t xml:space="preserve"> of receipt of a request for a</w:t>
      </w:r>
      <w:r>
        <w:rPr>
          <w:spacing w:val="-3"/>
          <w:sz w:val="24"/>
        </w:rPr>
        <w:t xml:space="preserve"> </w:t>
      </w:r>
      <w:r>
        <w:rPr>
          <w:sz w:val="24"/>
        </w:rPr>
        <w:t>hearing</w:t>
      </w:r>
    </w:p>
    <w:p w:rsidR="00297865" w:rsidRDefault="00297865">
      <w:pPr>
        <w:rPr>
          <w:sz w:val="24"/>
        </w:rPr>
        <w:sectPr w:rsidR="00297865">
          <w:type w:val="continuous"/>
          <w:pgSz w:w="12240" w:h="15840"/>
          <w:pgMar w:top="1240" w:right="1380" w:bottom="280" w:left="1340" w:header="720" w:footer="720" w:gutter="0"/>
          <w:cols w:space="720"/>
        </w:sectPr>
      </w:pPr>
    </w:p>
    <w:p w:rsidR="00297865" w:rsidRDefault="00B420B4">
      <w:pPr>
        <w:pStyle w:val="ListParagraph"/>
        <w:numPr>
          <w:ilvl w:val="0"/>
          <w:numId w:val="1"/>
        </w:numPr>
        <w:tabs>
          <w:tab w:val="left" w:pos="820"/>
          <w:tab w:val="left" w:pos="821"/>
        </w:tabs>
        <w:spacing w:before="72"/>
        <w:rPr>
          <w:sz w:val="24"/>
        </w:rPr>
      </w:pPr>
      <w:r>
        <w:rPr>
          <w:sz w:val="24"/>
          <w:u w:val="single"/>
        </w:rPr>
        <w:lastRenderedPageBreak/>
        <w:t>Pre-Hearing</w:t>
      </w:r>
      <w:r>
        <w:rPr>
          <w:spacing w:val="-10"/>
          <w:sz w:val="24"/>
          <w:u w:val="single"/>
        </w:rPr>
        <w:t xml:space="preserve"> </w:t>
      </w:r>
      <w:r>
        <w:rPr>
          <w:sz w:val="24"/>
          <w:u w:val="single"/>
        </w:rPr>
        <w:t>Procedures</w:t>
      </w:r>
    </w:p>
    <w:p w:rsidR="00297865" w:rsidRDefault="00297865">
      <w:pPr>
        <w:pStyle w:val="BodyText"/>
        <w:spacing w:before="9"/>
        <w:rPr>
          <w:sz w:val="20"/>
        </w:rPr>
      </w:pPr>
    </w:p>
    <w:p w:rsidR="00297865" w:rsidRDefault="00B420B4">
      <w:pPr>
        <w:pStyle w:val="ListParagraph"/>
        <w:numPr>
          <w:ilvl w:val="1"/>
          <w:numId w:val="1"/>
        </w:numPr>
        <w:tabs>
          <w:tab w:val="left" w:pos="1540"/>
          <w:tab w:val="left" w:pos="1541"/>
        </w:tabs>
        <w:rPr>
          <w:sz w:val="24"/>
        </w:rPr>
      </w:pPr>
      <w:r>
        <w:rPr>
          <w:sz w:val="24"/>
        </w:rPr>
        <w:t>The hearing officer is responsible for the following matters prior to the</w:t>
      </w:r>
      <w:r>
        <w:rPr>
          <w:spacing w:val="-15"/>
          <w:sz w:val="24"/>
        </w:rPr>
        <w:t xml:space="preserve"> </w:t>
      </w:r>
      <w:r>
        <w:rPr>
          <w:sz w:val="24"/>
        </w:rPr>
        <w:t>hearing:</w:t>
      </w:r>
    </w:p>
    <w:p w:rsidR="00297865" w:rsidRDefault="00297865">
      <w:pPr>
        <w:pStyle w:val="BodyText"/>
        <w:spacing w:before="9"/>
        <w:rPr>
          <w:sz w:val="20"/>
        </w:rPr>
      </w:pPr>
    </w:p>
    <w:p w:rsidR="00297865" w:rsidRDefault="00B420B4">
      <w:pPr>
        <w:pStyle w:val="ListParagraph"/>
        <w:numPr>
          <w:ilvl w:val="2"/>
          <w:numId w:val="1"/>
        </w:numPr>
        <w:tabs>
          <w:tab w:val="left" w:pos="2260"/>
          <w:tab w:val="left" w:pos="2261"/>
        </w:tabs>
        <w:ind w:right="325"/>
        <w:rPr>
          <w:sz w:val="24"/>
        </w:rPr>
      </w:pPr>
      <w:r>
        <w:rPr>
          <w:sz w:val="24"/>
        </w:rPr>
        <w:t>Within five (5) school days of appointment, securing a date, time, and location for the hearing that are convenient to both parties, and notifying both parties, in writing, of the date, time, and location of the</w:t>
      </w:r>
      <w:r>
        <w:rPr>
          <w:spacing w:val="-13"/>
          <w:sz w:val="24"/>
        </w:rPr>
        <w:t xml:space="preserve"> </w:t>
      </w:r>
      <w:r>
        <w:rPr>
          <w:sz w:val="24"/>
        </w:rPr>
        <w:t>hearing.</w:t>
      </w:r>
    </w:p>
    <w:p w:rsidR="00297865" w:rsidRDefault="00297865">
      <w:pPr>
        <w:pStyle w:val="BodyText"/>
        <w:spacing w:before="9"/>
        <w:rPr>
          <w:sz w:val="20"/>
        </w:rPr>
      </w:pPr>
    </w:p>
    <w:p w:rsidR="00297865" w:rsidRDefault="00B420B4">
      <w:pPr>
        <w:pStyle w:val="ListParagraph"/>
        <w:numPr>
          <w:ilvl w:val="2"/>
          <w:numId w:val="1"/>
        </w:numPr>
        <w:tabs>
          <w:tab w:val="left" w:pos="2260"/>
          <w:tab w:val="left" w:pos="2261"/>
        </w:tabs>
        <w:rPr>
          <w:sz w:val="24"/>
        </w:rPr>
      </w:pPr>
      <w:r>
        <w:rPr>
          <w:sz w:val="24"/>
        </w:rPr>
        <w:t>Ascertaining whether the parties w</w:t>
      </w:r>
      <w:r>
        <w:rPr>
          <w:sz w:val="24"/>
        </w:rPr>
        <w:t>ill be represented at the</w:t>
      </w:r>
      <w:r>
        <w:rPr>
          <w:spacing w:val="-15"/>
          <w:sz w:val="24"/>
        </w:rPr>
        <w:t xml:space="preserve"> </w:t>
      </w:r>
      <w:r>
        <w:rPr>
          <w:sz w:val="24"/>
        </w:rPr>
        <w:t>hearing.</w:t>
      </w:r>
    </w:p>
    <w:p w:rsidR="00297865" w:rsidRDefault="00297865">
      <w:pPr>
        <w:pStyle w:val="BodyText"/>
        <w:spacing w:before="9"/>
        <w:rPr>
          <w:sz w:val="20"/>
        </w:rPr>
      </w:pPr>
    </w:p>
    <w:p w:rsidR="00297865" w:rsidRDefault="00B420B4">
      <w:pPr>
        <w:pStyle w:val="ListParagraph"/>
        <w:numPr>
          <w:ilvl w:val="2"/>
          <w:numId w:val="1"/>
        </w:numPr>
        <w:tabs>
          <w:tab w:val="left" w:pos="2260"/>
          <w:tab w:val="left" w:pos="2261"/>
        </w:tabs>
        <w:rPr>
          <w:sz w:val="24"/>
        </w:rPr>
      </w:pPr>
      <w:r>
        <w:rPr>
          <w:sz w:val="24"/>
        </w:rPr>
        <w:t>Ascertaining whether the hearing will be open to the</w:t>
      </w:r>
      <w:r>
        <w:rPr>
          <w:spacing w:val="-13"/>
          <w:sz w:val="24"/>
        </w:rPr>
        <w:t xml:space="preserve"> </w:t>
      </w:r>
      <w:r>
        <w:rPr>
          <w:sz w:val="24"/>
        </w:rPr>
        <w:t>public.</w:t>
      </w:r>
    </w:p>
    <w:p w:rsidR="00297865" w:rsidRDefault="00297865">
      <w:pPr>
        <w:pStyle w:val="BodyText"/>
        <w:spacing w:before="10"/>
        <w:rPr>
          <w:sz w:val="20"/>
        </w:rPr>
      </w:pPr>
    </w:p>
    <w:p w:rsidR="00297865" w:rsidRDefault="00B420B4">
      <w:pPr>
        <w:pStyle w:val="ListParagraph"/>
        <w:numPr>
          <w:ilvl w:val="2"/>
          <w:numId w:val="1"/>
        </w:numPr>
        <w:tabs>
          <w:tab w:val="left" w:pos="2260"/>
          <w:tab w:val="left" w:pos="2261"/>
        </w:tabs>
        <w:ind w:right="829"/>
        <w:rPr>
          <w:sz w:val="24"/>
        </w:rPr>
      </w:pPr>
      <w:r>
        <w:rPr>
          <w:sz w:val="24"/>
        </w:rPr>
        <w:t>Ensuring that the hearing is accurately recorded either by</w:t>
      </w:r>
      <w:r>
        <w:rPr>
          <w:spacing w:val="-12"/>
          <w:sz w:val="24"/>
        </w:rPr>
        <w:t xml:space="preserve"> </w:t>
      </w:r>
      <w:r>
        <w:rPr>
          <w:sz w:val="24"/>
        </w:rPr>
        <w:t>recording equipment or by a court</w:t>
      </w:r>
      <w:r>
        <w:rPr>
          <w:spacing w:val="-6"/>
          <w:sz w:val="24"/>
        </w:rPr>
        <w:t xml:space="preserve"> </w:t>
      </w:r>
      <w:r>
        <w:rPr>
          <w:sz w:val="24"/>
        </w:rPr>
        <w:t>reporter.</w:t>
      </w:r>
    </w:p>
    <w:p w:rsidR="00297865" w:rsidRDefault="00297865">
      <w:pPr>
        <w:pStyle w:val="BodyText"/>
        <w:spacing w:before="9"/>
        <w:rPr>
          <w:sz w:val="20"/>
        </w:rPr>
      </w:pPr>
    </w:p>
    <w:p w:rsidR="00297865" w:rsidRDefault="00B420B4">
      <w:pPr>
        <w:pStyle w:val="ListParagraph"/>
        <w:numPr>
          <w:ilvl w:val="1"/>
          <w:numId w:val="1"/>
        </w:numPr>
        <w:tabs>
          <w:tab w:val="left" w:pos="1540"/>
          <w:tab w:val="left" w:pos="1541"/>
        </w:tabs>
        <w:ind w:right="116"/>
        <w:rPr>
          <w:sz w:val="24"/>
        </w:rPr>
      </w:pPr>
      <w:r>
        <w:rPr>
          <w:sz w:val="24"/>
        </w:rPr>
        <w:t>A list of witnesses and documentary evidence for the h</w:t>
      </w:r>
      <w:r>
        <w:rPr>
          <w:sz w:val="24"/>
        </w:rPr>
        <w:t xml:space="preserve">earing (including all evaluations and related recommendations that each party intends to use at the hearing) must be exchanged by the parties and received by the hearing officer at least five (5) school days before the hearing. The hearing officer has the </w:t>
      </w:r>
      <w:r>
        <w:rPr>
          <w:sz w:val="24"/>
        </w:rPr>
        <w:t>authority to exclude any documentary evidence which was not provided and any testimony of witnesses who were not identified at least five (5) school days before the hearing.</w:t>
      </w:r>
    </w:p>
    <w:p w:rsidR="00297865" w:rsidRDefault="00297865">
      <w:pPr>
        <w:pStyle w:val="BodyText"/>
        <w:spacing w:before="9"/>
        <w:rPr>
          <w:sz w:val="20"/>
        </w:rPr>
      </w:pPr>
    </w:p>
    <w:p w:rsidR="00297865" w:rsidRDefault="00B420B4">
      <w:pPr>
        <w:pStyle w:val="ListParagraph"/>
        <w:numPr>
          <w:ilvl w:val="1"/>
          <w:numId w:val="1"/>
        </w:numPr>
        <w:tabs>
          <w:tab w:val="left" w:pos="1540"/>
          <w:tab w:val="left" w:pos="1541"/>
        </w:tabs>
        <w:rPr>
          <w:sz w:val="24"/>
        </w:rPr>
      </w:pPr>
      <w:r>
        <w:rPr>
          <w:sz w:val="24"/>
        </w:rPr>
        <w:t>Pre-hearing conferences should be held, if</w:t>
      </w:r>
      <w:r>
        <w:rPr>
          <w:spacing w:val="-12"/>
          <w:sz w:val="24"/>
        </w:rPr>
        <w:t xml:space="preserve"> </w:t>
      </w:r>
      <w:r>
        <w:rPr>
          <w:sz w:val="24"/>
        </w:rPr>
        <w:t>appropriate.</w:t>
      </w:r>
    </w:p>
    <w:p w:rsidR="00297865" w:rsidRDefault="00297865">
      <w:pPr>
        <w:pStyle w:val="BodyText"/>
        <w:spacing w:before="9"/>
        <w:rPr>
          <w:sz w:val="20"/>
        </w:rPr>
      </w:pPr>
    </w:p>
    <w:p w:rsidR="00297865" w:rsidRDefault="00B420B4">
      <w:pPr>
        <w:pStyle w:val="ListParagraph"/>
        <w:numPr>
          <w:ilvl w:val="0"/>
          <w:numId w:val="1"/>
        </w:numPr>
        <w:tabs>
          <w:tab w:val="left" w:pos="820"/>
          <w:tab w:val="left" w:pos="821"/>
        </w:tabs>
        <w:rPr>
          <w:sz w:val="24"/>
        </w:rPr>
      </w:pPr>
      <w:r>
        <w:rPr>
          <w:sz w:val="24"/>
          <w:u w:val="single"/>
        </w:rPr>
        <w:t>Hearing</w:t>
      </w:r>
      <w:r>
        <w:rPr>
          <w:spacing w:val="-6"/>
          <w:sz w:val="24"/>
          <w:u w:val="single"/>
        </w:rPr>
        <w:t xml:space="preserve"> </w:t>
      </w:r>
      <w:r>
        <w:rPr>
          <w:sz w:val="24"/>
          <w:u w:val="single"/>
        </w:rPr>
        <w:t>Procedures</w:t>
      </w:r>
    </w:p>
    <w:p w:rsidR="00297865" w:rsidRDefault="00297865">
      <w:pPr>
        <w:pStyle w:val="BodyText"/>
        <w:spacing w:before="9"/>
        <w:rPr>
          <w:sz w:val="20"/>
        </w:rPr>
      </w:pPr>
    </w:p>
    <w:p w:rsidR="00297865" w:rsidRDefault="00B420B4">
      <w:pPr>
        <w:pStyle w:val="ListParagraph"/>
        <w:numPr>
          <w:ilvl w:val="1"/>
          <w:numId w:val="1"/>
        </w:numPr>
        <w:tabs>
          <w:tab w:val="left" w:pos="1540"/>
          <w:tab w:val="left" w:pos="1541"/>
        </w:tabs>
        <w:ind w:left="1160" w:hanging="340"/>
        <w:rPr>
          <w:sz w:val="24"/>
        </w:rPr>
      </w:pPr>
      <w:r>
        <w:rPr>
          <w:sz w:val="24"/>
        </w:rPr>
        <w:t xml:space="preserve">The </w:t>
      </w:r>
      <w:r>
        <w:rPr>
          <w:sz w:val="24"/>
        </w:rPr>
        <w:t>parties have the following rights in a</w:t>
      </w:r>
      <w:r>
        <w:rPr>
          <w:spacing w:val="-12"/>
          <w:sz w:val="24"/>
        </w:rPr>
        <w:t xml:space="preserve"> </w:t>
      </w:r>
      <w:r>
        <w:rPr>
          <w:sz w:val="24"/>
        </w:rPr>
        <w:t>hearing:</w:t>
      </w:r>
    </w:p>
    <w:p w:rsidR="00297865" w:rsidRDefault="00297865">
      <w:pPr>
        <w:pStyle w:val="BodyText"/>
        <w:spacing w:before="9"/>
        <w:rPr>
          <w:sz w:val="20"/>
        </w:rPr>
      </w:pPr>
    </w:p>
    <w:p w:rsidR="00297865" w:rsidRDefault="00B420B4">
      <w:pPr>
        <w:pStyle w:val="ListParagraph"/>
        <w:numPr>
          <w:ilvl w:val="2"/>
          <w:numId w:val="1"/>
        </w:numPr>
        <w:tabs>
          <w:tab w:val="left" w:pos="2260"/>
          <w:tab w:val="left" w:pos="2261"/>
        </w:tabs>
        <w:ind w:right="502"/>
        <w:rPr>
          <w:sz w:val="24"/>
        </w:rPr>
      </w:pPr>
      <w:r>
        <w:rPr>
          <w:sz w:val="24"/>
        </w:rPr>
        <w:t>to participate in the hearing and be represented by counsel at their</w:t>
      </w:r>
      <w:r>
        <w:rPr>
          <w:spacing w:val="-11"/>
          <w:sz w:val="24"/>
        </w:rPr>
        <w:t xml:space="preserve"> </w:t>
      </w:r>
      <w:r>
        <w:rPr>
          <w:sz w:val="24"/>
        </w:rPr>
        <w:t>own expense;</w:t>
      </w:r>
    </w:p>
    <w:p w:rsidR="00297865" w:rsidRDefault="00297865">
      <w:pPr>
        <w:pStyle w:val="BodyText"/>
        <w:spacing w:before="9"/>
        <w:rPr>
          <w:sz w:val="20"/>
        </w:rPr>
      </w:pPr>
    </w:p>
    <w:p w:rsidR="00297865" w:rsidRDefault="00B420B4">
      <w:pPr>
        <w:pStyle w:val="ListParagraph"/>
        <w:numPr>
          <w:ilvl w:val="2"/>
          <w:numId w:val="1"/>
        </w:numPr>
        <w:tabs>
          <w:tab w:val="left" w:pos="2260"/>
          <w:tab w:val="left" w:pos="2261"/>
        </w:tabs>
        <w:rPr>
          <w:sz w:val="24"/>
        </w:rPr>
      </w:pPr>
      <w:r>
        <w:rPr>
          <w:sz w:val="24"/>
        </w:rPr>
        <w:t>to present evidence and cross-examine witnesses;</w:t>
      </w:r>
      <w:r>
        <w:rPr>
          <w:spacing w:val="-5"/>
          <w:sz w:val="24"/>
        </w:rPr>
        <w:t xml:space="preserve"> </w:t>
      </w:r>
      <w:r>
        <w:rPr>
          <w:sz w:val="24"/>
        </w:rPr>
        <w:t>and</w:t>
      </w:r>
    </w:p>
    <w:p w:rsidR="00297865" w:rsidRDefault="00297865">
      <w:pPr>
        <w:pStyle w:val="BodyText"/>
        <w:spacing w:before="9"/>
        <w:rPr>
          <w:sz w:val="20"/>
        </w:rPr>
      </w:pPr>
    </w:p>
    <w:p w:rsidR="00297865" w:rsidRDefault="00B420B4">
      <w:pPr>
        <w:pStyle w:val="ListParagraph"/>
        <w:numPr>
          <w:ilvl w:val="2"/>
          <w:numId w:val="1"/>
        </w:numPr>
        <w:tabs>
          <w:tab w:val="left" w:pos="2260"/>
          <w:tab w:val="left" w:pos="2261"/>
        </w:tabs>
        <w:ind w:right="487"/>
        <w:rPr>
          <w:sz w:val="24"/>
        </w:rPr>
      </w:pPr>
      <w:proofErr w:type="gramStart"/>
      <w:r>
        <w:rPr>
          <w:sz w:val="24"/>
        </w:rPr>
        <w:t>to</w:t>
      </w:r>
      <w:proofErr w:type="gramEnd"/>
      <w:r>
        <w:rPr>
          <w:sz w:val="24"/>
        </w:rPr>
        <w:t xml:space="preserve"> obtain a copy of the transcript or a tape recording of the hearing (the cost of the transcript to be borne by the requesting</w:t>
      </w:r>
      <w:r>
        <w:rPr>
          <w:spacing w:val="-10"/>
          <w:sz w:val="24"/>
        </w:rPr>
        <w:t xml:space="preserve"> </w:t>
      </w:r>
      <w:r>
        <w:rPr>
          <w:sz w:val="24"/>
        </w:rPr>
        <w:t>party).</w:t>
      </w:r>
    </w:p>
    <w:p w:rsidR="00297865" w:rsidRDefault="00297865">
      <w:pPr>
        <w:pStyle w:val="BodyText"/>
        <w:spacing w:before="9"/>
        <w:rPr>
          <w:sz w:val="20"/>
        </w:rPr>
      </w:pPr>
    </w:p>
    <w:p w:rsidR="00297865" w:rsidRDefault="00B420B4">
      <w:pPr>
        <w:pStyle w:val="ListParagraph"/>
        <w:numPr>
          <w:ilvl w:val="1"/>
          <w:numId w:val="1"/>
        </w:numPr>
        <w:tabs>
          <w:tab w:val="left" w:pos="1540"/>
          <w:tab w:val="left" w:pos="1541"/>
        </w:tabs>
        <w:rPr>
          <w:sz w:val="24"/>
        </w:rPr>
      </w:pPr>
      <w:r>
        <w:rPr>
          <w:sz w:val="24"/>
        </w:rPr>
        <w:t>For hearings requested on behalf of students, the student may attend the</w:t>
      </w:r>
      <w:r>
        <w:rPr>
          <w:spacing w:val="-17"/>
          <w:sz w:val="24"/>
        </w:rPr>
        <w:t xml:space="preserve"> </w:t>
      </w:r>
      <w:r>
        <w:rPr>
          <w:sz w:val="24"/>
        </w:rPr>
        <w:t>hearing.</w:t>
      </w:r>
    </w:p>
    <w:p w:rsidR="00297865" w:rsidRDefault="00297865">
      <w:pPr>
        <w:pStyle w:val="BodyText"/>
        <w:spacing w:before="9"/>
        <w:rPr>
          <w:sz w:val="20"/>
        </w:rPr>
      </w:pPr>
    </w:p>
    <w:p w:rsidR="00297865" w:rsidRDefault="00B420B4">
      <w:pPr>
        <w:pStyle w:val="ListParagraph"/>
        <w:numPr>
          <w:ilvl w:val="1"/>
          <w:numId w:val="1"/>
        </w:numPr>
        <w:tabs>
          <w:tab w:val="left" w:pos="1540"/>
          <w:tab w:val="left" w:pos="1541"/>
        </w:tabs>
        <w:rPr>
          <w:sz w:val="24"/>
        </w:rPr>
      </w:pPr>
      <w:r>
        <w:rPr>
          <w:sz w:val="24"/>
        </w:rPr>
        <w:t xml:space="preserve">In connection with the hearing, the </w:t>
      </w:r>
      <w:r>
        <w:rPr>
          <w:sz w:val="24"/>
        </w:rPr>
        <w:t>hearing officer</w:t>
      </w:r>
      <w:r>
        <w:rPr>
          <w:spacing w:val="-12"/>
          <w:sz w:val="24"/>
        </w:rPr>
        <w:t xml:space="preserve"> </w:t>
      </w:r>
      <w:r>
        <w:rPr>
          <w:sz w:val="24"/>
        </w:rPr>
        <w:t>shall:</w:t>
      </w:r>
    </w:p>
    <w:p w:rsidR="00297865" w:rsidRDefault="00297865">
      <w:pPr>
        <w:pStyle w:val="BodyText"/>
        <w:spacing w:before="9"/>
        <w:rPr>
          <w:sz w:val="20"/>
        </w:rPr>
      </w:pPr>
    </w:p>
    <w:p w:rsidR="00297865" w:rsidRDefault="00B420B4">
      <w:pPr>
        <w:pStyle w:val="ListParagraph"/>
        <w:numPr>
          <w:ilvl w:val="2"/>
          <w:numId w:val="1"/>
        </w:numPr>
        <w:tabs>
          <w:tab w:val="left" w:pos="2260"/>
          <w:tab w:val="left" w:pos="2261"/>
        </w:tabs>
        <w:rPr>
          <w:sz w:val="24"/>
        </w:rPr>
      </w:pPr>
      <w:r>
        <w:rPr>
          <w:sz w:val="24"/>
        </w:rPr>
        <w:t>Maintain an atmosphere conducive to impartiality and</w:t>
      </w:r>
      <w:r>
        <w:rPr>
          <w:spacing w:val="-10"/>
          <w:sz w:val="24"/>
        </w:rPr>
        <w:t xml:space="preserve"> </w:t>
      </w:r>
      <w:r>
        <w:rPr>
          <w:sz w:val="24"/>
        </w:rPr>
        <w:t>fairness.</w:t>
      </w:r>
    </w:p>
    <w:p w:rsidR="00297865" w:rsidRDefault="00297865">
      <w:pPr>
        <w:pStyle w:val="BodyText"/>
        <w:spacing w:before="9"/>
        <w:rPr>
          <w:sz w:val="20"/>
        </w:rPr>
      </w:pPr>
    </w:p>
    <w:p w:rsidR="00297865" w:rsidRDefault="00B420B4">
      <w:pPr>
        <w:pStyle w:val="ListParagraph"/>
        <w:numPr>
          <w:ilvl w:val="2"/>
          <w:numId w:val="1"/>
        </w:numPr>
        <w:tabs>
          <w:tab w:val="left" w:pos="2260"/>
          <w:tab w:val="left" w:pos="2261"/>
        </w:tabs>
        <w:ind w:right="390"/>
        <w:rPr>
          <w:sz w:val="24"/>
        </w:rPr>
      </w:pPr>
      <w:r>
        <w:rPr>
          <w:sz w:val="24"/>
        </w:rPr>
        <w:t xml:space="preserve">Ensure the appointment of a surrogate parent </w:t>
      </w:r>
      <w:r>
        <w:rPr>
          <w:spacing w:val="2"/>
          <w:sz w:val="24"/>
        </w:rPr>
        <w:t xml:space="preserve">by </w:t>
      </w:r>
      <w:r>
        <w:rPr>
          <w:sz w:val="24"/>
        </w:rPr>
        <w:t>the school division, if appropriate, pursuant to the regulations adopted by the State pursuant</w:t>
      </w:r>
      <w:r>
        <w:rPr>
          <w:spacing w:val="-14"/>
          <w:sz w:val="24"/>
        </w:rPr>
        <w:t xml:space="preserve"> </w:t>
      </w:r>
      <w:r>
        <w:rPr>
          <w:sz w:val="24"/>
        </w:rPr>
        <w:t>to the</w:t>
      </w:r>
      <w:r>
        <w:rPr>
          <w:spacing w:val="-6"/>
          <w:sz w:val="24"/>
        </w:rPr>
        <w:t xml:space="preserve"> </w:t>
      </w:r>
      <w:r>
        <w:rPr>
          <w:sz w:val="24"/>
        </w:rPr>
        <w:t>IDEA.</w:t>
      </w:r>
    </w:p>
    <w:p w:rsidR="00297865" w:rsidRDefault="00297865">
      <w:pPr>
        <w:pStyle w:val="BodyText"/>
        <w:spacing w:before="10"/>
        <w:rPr>
          <w:sz w:val="20"/>
        </w:rPr>
      </w:pPr>
    </w:p>
    <w:p w:rsidR="00297865" w:rsidRDefault="00B420B4">
      <w:pPr>
        <w:pStyle w:val="ListParagraph"/>
        <w:numPr>
          <w:ilvl w:val="2"/>
          <w:numId w:val="1"/>
        </w:numPr>
        <w:tabs>
          <w:tab w:val="left" w:pos="2260"/>
          <w:tab w:val="left" w:pos="2261"/>
        </w:tabs>
        <w:rPr>
          <w:sz w:val="24"/>
        </w:rPr>
      </w:pPr>
      <w:r>
        <w:rPr>
          <w:sz w:val="24"/>
        </w:rPr>
        <w:t>Maintain an</w:t>
      </w:r>
      <w:r>
        <w:rPr>
          <w:sz w:val="24"/>
        </w:rPr>
        <w:t xml:space="preserve"> accurate record of the</w:t>
      </w:r>
      <w:r>
        <w:rPr>
          <w:spacing w:val="-10"/>
          <w:sz w:val="24"/>
        </w:rPr>
        <w:t xml:space="preserve"> </w:t>
      </w:r>
      <w:r>
        <w:rPr>
          <w:sz w:val="24"/>
        </w:rPr>
        <w:t>proceedings.</w:t>
      </w:r>
    </w:p>
    <w:p w:rsidR="00297865" w:rsidRDefault="00297865">
      <w:pPr>
        <w:rPr>
          <w:sz w:val="24"/>
        </w:rPr>
        <w:sectPr w:rsidR="00297865">
          <w:pgSz w:w="12240" w:h="15840"/>
          <w:pgMar w:top="1360" w:right="1340" w:bottom="280" w:left="1340" w:header="720" w:footer="720" w:gutter="0"/>
          <w:cols w:space="720"/>
        </w:sectPr>
      </w:pPr>
    </w:p>
    <w:p w:rsidR="00297865" w:rsidRDefault="00B420B4">
      <w:pPr>
        <w:pStyle w:val="ListParagraph"/>
        <w:numPr>
          <w:ilvl w:val="2"/>
          <w:numId w:val="1"/>
        </w:numPr>
        <w:tabs>
          <w:tab w:val="left" w:pos="1880"/>
          <w:tab w:val="left" w:pos="1881"/>
        </w:tabs>
        <w:spacing w:before="72"/>
        <w:ind w:left="1880" w:right="575"/>
        <w:rPr>
          <w:sz w:val="24"/>
        </w:rPr>
      </w:pPr>
      <w:r>
        <w:rPr>
          <w:sz w:val="24"/>
        </w:rPr>
        <w:lastRenderedPageBreak/>
        <w:t>Issue a written decision to all parties setting forth findings of fact</w:t>
      </w:r>
      <w:r>
        <w:rPr>
          <w:spacing w:val="-14"/>
          <w:sz w:val="24"/>
        </w:rPr>
        <w:t xml:space="preserve"> </w:t>
      </w:r>
      <w:r>
        <w:rPr>
          <w:sz w:val="24"/>
        </w:rPr>
        <w:t>and conclusions of law based on the evidence presented in the</w:t>
      </w:r>
      <w:r>
        <w:rPr>
          <w:spacing w:val="-10"/>
          <w:sz w:val="24"/>
        </w:rPr>
        <w:t xml:space="preserve"> </w:t>
      </w:r>
      <w:r>
        <w:rPr>
          <w:sz w:val="24"/>
        </w:rPr>
        <w:t>hearing.</w:t>
      </w:r>
    </w:p>
    <w:p w:rsidR="00297865" w:rsidRDefault="00297865">
      <w:pPr>
        <w:pStyle w:val="BodyText"/>
        <w:spacing w:before="9"/>
        <w:rPr>
          <w:sz w:val="20"/>
        </w:rPr>
      </w:pPr>
    </w:p>
    <w:p w:rsidR="00297865" w:rsidRDefault="00B420B4">
      <w:pPr>
        <w:pStyle w:val="ListParagraph"/>
        <w:numPr>
          <w:ilvl w:val="2"/>
          <w:numId w:val="1"/>
        </w:numPr>
        <w:tabs>
          <w:tab w:val="left" w:pos="1880"/>
          <w:tab w:val="left" w:pos="1881"/>
        </w:tabs>
        <w:ind w:left="1880" w:right="113"/>
        <w:rPr>
          <w:sz w:val="24"/>
        </w:rPr>
      </w:pPr>
      <w:r>
        <w:rPr>
          <w:sz w:val="24"/>
        </w:rPr>
        <w:t>Render a written decision within forty-five (45) calendar days from the date of appointment, unless continued upon a request of either party to the hearing. A continuance can be granted by the hearing officer upon a showing of good</w:t>
      </w:r>
      <w:r>
        <w:rPr>
          <w:spacing w:val="-6"/>
          <w:sz w:val="24"/>
        </w:rPr>
        <w:t xml:space="preserve"> </w:t>
      </w:r>
      <w:r>
        <w:rPr>
          <w:sz w:val="24"/>
        </w:rPr>
        <w:t>cause.</w:t>
      </w:r>
    </w:p>
    <w:p w:rsidR="00297865" w:rsidRDefault="00297865">
      <w:pPr>
        <w:pStyle w:val="BodyText"/>
        <w:spacing w:before="9"/>
        <w:rPr>
          <w:sz w:val="20"/>
        </w:rPr>
      </w:pPr>
    </w:p>
    <w:p w:rsidR="00297865" w:rsidRDefault="00B420B4">
      <w:pPr>
        <w:pStyle w:val="ListParagraph"/>
        <w:numPr>
          <w:ilvl w:val="2"/>
          <w:numId w:val="1"/>
        </w:numPr>
        <w:tabs>
          <w:tab w:val="left" w:pos="1880"/>
          <w:tab w:val="left" w:pos="1881"/>
        </w:tabs>
        <w:ind w:left="1880"/>
        <w:rPr>
          <w:sz w:val="24"/>
        </w:rPr>
      </w:pPr>
      <w:r>
        <w:rPr>
          <w:sz w:val="24"/>
        </w:rPr>
        <w:t>Assign the burde</w:t>
      </w:r>
      <w:r>
        <w:rPr>
          <w:sz w:val="24"/>
        </w:rPr>
        <w:t>n of proof to the party seeking</w:t>
      </w:r>
      <w:r>
        <w:rPr>
          <w:spacing w:val="-10"/>
          <w:sz w:val="24"/>
        </w:rPr>
        <w:t xml:space="preserve"> </w:t>
      </w:r>
      <w:r>
        <w:rPr>
          <w:sz w:val="24"/>
        </w:rPr>
        <w:t>relief.</w:t>
      </w:r>
    </w:p>
    <w:p w:rsidR="00297865" w:rsidRDefault="00297865">
      <w:pPr>
        <w:pStyle w:val="BodyText"/>
        <w:spacing w:before="9"/>
        <w:rPr>
          <w:sz w:val="20"/>
        </w:rPr>
      </w:pPr>
    </w:p>
    <w:p w:rsidR="00297865" w:rsidRDefault="00B420B4">
      <w:pPr>
        <w:pStyle w:val="ListParagraph"/>
        <w:numPr>
          <w:ilvl w:val="1"/>
          <w:numId w:val="1"/>
        </w:numPr>
        <w:tabs>
          <w:tab w:val="left" w:pos="1160"/>
          <w:tab w:val="left" w:pos="1161"/>
        </w:tabs>
        <w:ind w:left="1160" w:right="175"/>
        <w:rPr>
          <w:sz w:val="24"/>
        </w:rPr>
      </w:pPr>
      <w:r>
        <w:rPr>
          <w:sz w:val="24"/>
        </w:rPr>
        <w:t>The hearing officer shall hold all records for thirty (30) calendar days after issuance of a decision. In the event an appeal is noted, the coordinator will provide the hearing officer with the name and address of t</w:t>
      </w:r>
      <w:r>
        <w:rPr>
          <w:sz w:val="24"/>
        </w:rPr>
        <w:t>he review officer and request that the records be forwarded to the review officer. The hearing officer shall transmit the records to the review officer within three (3) school days of</w:t>
      </w:r>
      <w:r>
        <w:rPr>
          <w:spacing w:val="-13"/>
          <w:sz w:val="24"/>
        </w:rPr>
        <w:t xml:space="preserve"> </w:t>
      </w:r>
      <w:r>
        <w:rPr>
          <w:sz w:val="24"/>
        </w:rPr>
        <w:t>the coordinator’s request. In the event that no appeal is made, the hear</w:t>
      </w:r>
      <w:r>
        <w:rPr>
          <w:sz w:val="24"/>
        </w:rPr>
        <w:t>ing officer shall return the records to the</w:t>
      </w:r>
      <w:r>
        <w:rPr>
          <w:spacing w:val="-9"/>
          <w:sz w:val="24"/>
        </w:rPr>
        <w:t xml:space="preserve"> </w:t>
      </w:r>
      <w:r>
        <w:rPr>
          <w:sz w:val="24"/>
        </w:rPr>
        <w:t>coordinator.</w:t>
      </w:r>
    </w:p>
    <w:sectPr w:rsidR="00297865">
      <w:pgSz w:w="12240" w:h="15840"/>
      <w:pgMar w:top="1360" w:right="140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37EBA"/>
    <w:multiLevelType w:val="hybridMultilevel"/>
    <w:tmpl w:val="E25C99CE"/>
    <w:lvl w:ilvl="0" w:tplc="0A2A2B72">
      <w:start w:val="1"/>
      <w:numFmt w:val="decimal"/>
      <w:lvlText w:val="%1."/>
      <w:lvlJc w:val="left"/>
      <w:pPr>
        <w:ind w:left="820" w:hanging="720"/>
        <w:jc w:val="left"/>
      </w:pPr>
      <w:rPr>
        <w:rFonts w:ascii="Times New Roman" w:eastAsia="Times New Roman" w:hAnsi="Times New Roman" w:cs="Times New Roman" w:hint="default"/>
        <w:spacing w:val="-5"/>
        <w:w w:val="99"/>
        <w:sz w:val="24"/>
        <w:szCs w:val="24"/>
      </w:rPr>
    </w:lvl>
    <w:lvl w:ilvl="1" w:tplc="051C4B42">
      <w:start w:val="1"/>
      <w:numFmt w:val="lowerLetter"/>
      <w:lvlText w:val="(%2)"/>
      <w:lvlJc w:val="left"/>
      <w:pPr>
        <w:ind w:left="1540" w:hanging="720"/>
        <w:jc w:val="left"/>
      </w:pPr>
      <w:rPr>
        <w:rFonts w:ascii="Times New Roman" w:eastAsia="Times New Roman" w:hAnsi="Times New Roman" w:cs="Times New Roman" w:hint="default"/>
        <w:spacing w:val="-6"/>
        <w:w w:val="99"/>
        <w:sz w:val="24"/>
        <w:szCs w:val="24"/>
      </w:rPr>
    </w:lvl>
    <w:lvl w:ilvl="2" w:tplc="8C7E2124">
      <w:start w:val="1"/>
      <w:numFmt w:val="lowerRoman"/>
      <w:lvlText w:val="(%3)"/>
      <w:lvlJc w:val="left"/>
      <w:pPr>
        <w:ind w:left="2260" w:hanging="720"/>
        <w:jc w:val="left"/>
      </w:pPr>
      <w:rPr>
        <w:rFonts w:ascii="Times New Roman" w:eastAsia="Times New Roman" w:hAnsi="Times New Roman" w:cs="Times New Roman" w:hint="default"/>
        <w:spacing w:val="-2"/>
        <w:w w:val="99"/>
        <w:sz w:val="24"/>
        <w:szCs w:val="24"/>
      </w:rPr>
    </w:lvl>
    <w:lvl w:ilvl="3" w:tplc="B792F13E">
      <w:numFmt w:val="bullet"/>
      <w:lvlText w:val="•"/>
      <w:lvlJc w:val="left"/>
      <w:pPr>
        <w:ind w:left="2260" w:hanging="720"/>
      </w:pPr>
      <w:rPr>
        <w:rFonts w:hint="default"/>
      </w:rPr>
    </w:lvl>
    <w:lvl w:ilvl="4" w:tplc="97A661F0">
      <w:numFmt w:val="bullet"/>
      <w:lvlText w:val="•"/>
      <w:lvlJc w:val="left"/>
      <w:pPr>
        <w:ind w:left="3297" w:hanging="720"/>
      </w:pPr>
      <w:rPr>
        <w:rFonts w:hint="default"/>
      </w:rPr>
    </w:lvl>
    <w:lvl w:ilvl="5" w:tplc="BAA86D72">
      <w:numFmt w:val="bullet"/>
      <w:lvlText w:val="•"/>
      <w:lvlJc w:val="left"/>
      <w:pPr>
        <w:ind w:left="4334" w:hanging="720"/>
      </w:pPr>
      <w:rPr>
        <w:rFonts w:hint="default"/>
      </w:rPr>
    </w:lvl>
    <w:lvl w:ilvl="6" w:tplc="41EA2BC0">
      <w:numFmt w:val="bullet"/>
      <w:lvlText w:val="•"/>
      <w:lvlJc w:val="left"/>
      <w:pPr>
        <w:ind w:left="5371" w:hanging="720"/>
      </w:pPr>
      <w:rPr>
        <w:rFonts w:hint="default"/>
      </w:rPr>
    </w:lvl>
    <w:lvl w:ilvl="7" w:tplc="EF66DED4">
      <w:numFmt w:val="bullet"/>
      <w:lvlText w:val="•"/>
      <w:lvlJc w:val="left"/>
      <w:pPr>
        <w:ind w:left="6408" w:hanging="720"/>
      </w:pPr>
      <w:rPr>
        <w:rFonts w:hint="default"/>
      </w:rPr>
    </w:lvl>
    <w:lvl w:ilvl="8" w:tplc="2F32E596">
      <w:numFmt w:val="bullet"/>
      <w:lvlText w:val="•"/>
      <w:lvlJc w:val="left"/>
      <w:pPr>
        <w:ind w:left="7445"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formatting="1" w:enforcement="1" w:cryptProviderType="rsaFull" w:cryptAlgorithmClass="hash" w:cryptAlgorithmType="typeAny" w:cryptAlgorithmSid="4" w:cryptSpinCount="100000" w:hash="46cHUEDWwS8ogTkQyHzYuS31hqE=" w:salt="NOnBRKeMEufQY1tD8ZajTw=="/>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297865"/>
    <w:rsid w:val="00297865"/>
    <w:rsid w:val="00B4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2"/>
      <w:ind w:left="1882" w:right="184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60" w:hanging="72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4446</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RCPS</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C. Poland</dc:creator>
  <cp:lastModifiedBy>hpoland</cp:lastModifiedBy>
  <cp:revision>2</cp:revision>
  <dcterms:created xsi:type="dcterms:W3CDTF">2017-07-06T14:14:00Z</dcterms:created>
  <dcterms:modified xsi:type="dcterms:W3CDTF">2017-07-06T18:15:00Z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2017-01-20T00:00:00Z</vt:filetime>
  </property>
  <property fmtid="{D5CDD505-2E9C-101B-9397-08002B2CF9AE}" pid="3" name="Creator">
    <vt:lpwstr>Microsoft® Word 2010</vt:lpwstr>
  </property>
  <property fmtid="{D5CDD505-2E9C-101B-9397-08002B2CF9AE}" pid="4" name="LastSaved">
    <vt:filetime>2017-07-06T00:00:00Z</vt:filetime>
  </property>
</Properties>
</file>